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47A86B9D"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DF423E">
        <w:rPr>
          <w:rFonts w:ascii="Times New Roman" w:eastAsia="Times New Roman" w:hAnsi="Times New Roman" w:cs="Times New Roman"/>
          <w:b/>
          <w:sz w:val="28"/>
          <w:szCs w:val="28"/>
        </w:rPr>
        <w:t>December 5</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w:t>
      </w:r>
      <w:r w:rsidR="00E0503C">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New Ads Down 19%</w:t>
      </w:r>
      <w:r w:rsidR="00C12C84">
        <w:rPr>
          <w:rFonts w:ascii="Times New Roman" w:eastAsia="Times New Roman" w:hAnsi="Times New Roman" w:cs="Times New Roman"/>
          <w:b/>
          <w:sz w:val="28"/>
          <w:szCs w:val="28"/>
        </w:rPr>
        <w:t xml:space="preserve"> </w:t>
      </w:r>
    </w:p>
    <w:p w14:paraId="1BC5AD10" w14:textId="0038BCF6" w:rsidR="005E145B" w:rsidRDefault="002409CC" w:rsidP="00314B6F">
      <w:pPr>
        <w:rPr>
          <w:rFonts w:ascii="Calibri" w:hAnsi="Calibri" w:cs="Calibri"/>
          <w:color w:val="000000"/>
          <w:shd w:val="clear" w:color="auto" w:fill="FFFFFF"/>
        </w:rPr>
      </w:pPr>
      <w:r w:rsidRPr="008B0045">
        <w:rPr>
          <w:rFonts w:ascii="Calibri" w:hAnsi="Calibri" w:cs="Calibri"/>
          <w:color w:val="000000"/>
          <w:shd w:val="clear" w:color="auto" w:fill="FFFFFF"/>
        </w:rPr>
        <w:t xml:space="preserve">WETHERSFIELD, </w:t>
      </w:r>
      <w:r w:rsidR="00E0503C">
        <w:rPr>
          <w:rFonts w:ascii="Calibri" w:hAnsi="Calibri" w:cs="Calibri"/>
          <w:color w:val="000000"/>
          <w:shd w:val="clear" w:color="auto" w:fill="FFFFFF"/>
        </w:rPr>
        <w:t xml:space="preserve">December </w:t>
      </w:r>
      <w:r w:rsidR="00DF423E">
        <w:rPr>
          <w:rFonts w:ascii="Calibri" w:hAnsi="Calibri" w:cs="Calibri"/>
          <w:color w:val="000000"/>
          <w:shd w:val="clear" w:color="auto" w:fill="FFFFFF"/>
        </w:rPr>
        <w:t>11</w:t>
      </w:r>
      <w:r w:rsidR="00E0503C" w:rsidRPr="00E0503C">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DF423E">
        <w:rPr>
          <w:rFonts w:cstheme="minorHAnsi"/>
          <w:color w:val="000000"/>
          <w:shd w:val="clear" w:color="auto" w:fill="FFFFFF"/>
        </w:rPr>
        <w:t>December</w:t>
      </w:r>
      <w:r w:rsidR="00FA6F39">
        <w:rPr>
          <w:rFonts w:cstheme="minorHAnsi"/>
          <w:color w:val="000000"/>
          <w:shd w:val="clear" w:color="auto" w:fill="FFFFFF"/>
        </w:rPr>
        <w:t xml:space="preserve"> </w:t>
      </w:r>
      <w:r w:rsidR="00DF423E">
        <w:rPr>
          <w:rFonts w:cstheme="minorHAnsi"/>
          <w:color w:val="000000"/>
          <w:shd w:val="clear" w:color="auto" w:fill="FFFFFF"/>
        </w:rPr>
        <w:t>5</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F062D4">
        <w:rPr>
          <w:rFonts w:cstheme="minorHAnsi"/>
          <w:color w:val="000000"/>
          <w:shd w:val="clear" w:color="auto" w:fill="FFFFFF"/>
        </w:rPr>
        <w:t>2,815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E0503C">
        <w:rPr>
          <w:rFonts w:cstheme="minorHAnsi"/>
          <w:color w:val="000000"/>
          <w:shd w:val="clear" w:color="auto" w:fill="FFFFFF"/>
        </w:rPr>
        <w:t>down</w:t>
      </w:r>
      <w:r w:rsidR="005B022A">
        <w:rPr>
          <w:rFonts w:cstheme="minorHAnsi"/>
          <w:color w:val="000000"/>
          <w:shd w:val="clear" w:color="auto" w:fill="FFFFFF"/>
        </w:rPr>
        <w:t xml:space="preserve"> </w:t>
      </w:r>
      <w:r w:rsidR="00F062D4">
        <w:rPr>
          <w:rFonts w:cstheme="minorHAnsi"/>
          <w:color w:val="000000"/>
          <w:shd w:val="clear" w:color="auto" w:fill="FFFFFF"/>
        </w:rPr>
        <w:t>19</w:t>
      </w:r>
      <w:r w:rsidR="003223A1">
        <w:rPr>
          <w:rFonts w:cstheme="minorHAnsi"/>
          <w:color w:val="000000"/>
          <w:shd w:val="clear" w:color="auto" w:fill="FFFFFF"/>
        </w:rPr>
        <w:t>%</w:t>
      </w:r>
      <w:r w:rsidR="00600BD3">
        <w:rPr>
          <w:rFonts w:cstheme="minorHAnsi"/>
          <w:color w:val="000000"/>
          <w:shd w:val="clear" w:color="auto" w:fill="FFFFFF"/>
        </w:rPr>
        <w:t xml:space="preserve"> or </w:t>
      </w:r>
      <w:r w:rsidR="00E0503C">
        <w:rPr>
          <w:rFonts w:cstheme="minorHAnsi"/>
          <w:color w:val="000000"/>
          <w:shd w:val="clear" w:color="auto" w:fill="FFFFFF"/>
        </w:rPr>
        <w:t>-</w:t>
      </w:r>
      <w:r w:rsidR="00F062D4">
        <w:rPr>
          <w:rFonts w:cstheme="minorHAnsi"/>
          <w:color w:val="000000"/>
          <w:shd w:val="clear" w:color="auto" w:fill="FFFFFF"/>
        </w:rPr>
        <w:t>670</w:t>
      </w:r>
      <w:r w:rsidR="00600BD3">
        <w:rPr>
          <w:rFonts w:cstheme="minorHAnsi"/>
          <w:color w:val="000000"/>
          <w:shd w:val="clear" w:color="auto" w:fill="FFFFFF"/>
        </w:rPr>
        <w:t xml:space="preserve"> new ads</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F062D4">
        <w:rPr>
          <w:rFonts w:cstheme="minorHAnsi"/>
          <w:color w:val="000000"/>
          <w:shd w:val="clear" w:color="auto" w:fill="FFFFFF"/>
        </w:rPr>
        <w:t xml:space="preserve">  This overall decrease was driven by declines in Accommodation &amp; Food Services (-226 new ads), Finance &amp; Insurance (-224 new ads), and Retail Trade (-191 new ads) and buoyed by an over the week increase in Health Care &amp; Social Assistance (+128 new ads).</w:t>
      </w:r>
      <w:r w:rsidR="007613E4">
        <w:rPr>
          <w:rFonts w:cstheme="minorHAnsi"/>
          <w:color w:val="000000"/>
          <w:shd w:val="clear" w:color="auto" w:fill="FFFFFF"/>
        </w:rPr>
        <w:t xml:space="preserve">  This weekly </w:t>
      </w:r>
      <w:r w:rsidR="005877C2">
        <w:rPr>
          <w:rFonts w:cstheme="minorHAnsi"/>
          <w:color w:val="000000"/>
          <w:shd w:val="clear" w:color="auto" w:fill="FFFFFF"/>
        </w:rPr>
        <w:t>drop in early December is similar to percent change that occurred during the same time last year.  In late 2019 and late 2020, new ads fell by over 20 percent in the week</w:t>
      </w:r>
      <w:r w:rsidR="00BF2CF8">
        <w:rPr>
          <w:rFonts w:cstheme="minorHAnsi"/>
          <w:color w:val="000000"/>
          <w:shd w:val="clear" w:color="auto" w:fill="FFFFFF"/>
        </w:rPr>
        <w:t>s</w:t>
      </w:r>
      <w:r w:rsidR="005877C2">
        <w:rPr>
          <w:rFonts w:cstheme="minorHAnsi"/>
          <w:color w:val="000000"/>
          <w:shd w:val="clear" w:color="auto" w:fill="FFFFFF"/>
        </w:rPr>
        <w:t xml:space="preserve"> leading up to Thanksgiving, rebounded during the second half of November and fell by </w:t>
      </w:r>
      <w:r w:rsidR="00D9723F">
        <w:rPr>
          <w:rFonts w:cstheme="minorHAnsi"/>
          <w:color w:val="000000"/>
          <w:shd w:val="clear" w:color="auto" w:fill="FFFFFF"/>
        </w:rPr>
        <w:t>over 15 percent</w:t>
      </w:r>
      <w:r w:rsidR="005877C2">
        <w:rPr>
          <w:rFonts w:cstheme="minorHAnsi"/>
          <w:color w:val="000000"/>
          <w:shd w:val="clear" w:color="auto" w:fill="FFFFFF"/>
        </w:rPr>
        <w:t xml:space="preserve"> during the first week of December.  The graph below also illustrates </w:t>
      </w:r>
      <w:r w:rsidR="00D9723F">
        <w:rPr>
          <w:rFonts w:cstheme="minorHAnsi"/>
          <w:color w:val="000000"/>
          <w:shd w:val="clear" w:color="auto" w:fill="FFFFFF"/>
        </w:rPr>
        <w:t xml:space="preserve">how total weekly new ads have in 2020 shifted to lower levels after Covid-19 impacted the </w:t>
      </w:r>
      <w:r w:rsidR="00BF2CF8">
        <w:rPr>
          <w:rFonts w:cstheme="minorHAnsi"/>
          <w:color w:val="000000"/>
          <w:shd w:val="clear" w:color="auto" w:fill="FFFFFF"/>
        </w:rPr>
        <w:t>economy</w:t>
      </w:r>
      <w:r w:rsidR="00D9723F">
        <w:rPr>
          <w:rFonts w:cstheme="minorHAnsi"/>
          <w:color w:val="000000"/>
          <w:shd w:val="clear" w:color="auto" w:fill="FFFFFF"/>
        </w:rPr>
        <w:t>.</w:t>
      </w:r>
      <w:r w:rsidR="00E0503C">
        <w:rPr>
          <w:rFonts w:cstheme="minorHAnsi"/>
          <w:color w:val="000000"/>
          <w:shd w:val="clear" w:color="auto" w:fill="FFFFFF"/>
        </w:rPr>
        <w:br/>
      </w:r>
      <w:r w:rsidR="005961D5">
        <w:rPr>
          <w:rFonts w:cstheme="minorHAnsi"/>
          <w:color w:val="000000"/>
          <w:shd w:val="clear" w:color="auto" w:fill="FFFFFF"/>
        </w:rPr>
        <w:br/>
      </w:r>
      <w:bookmarkStart w:id="0" w:name="_GoBack"/>
      <w:r w:rsidR="0010207C">
        <w:rPr>
          <w:noProof/>
        </w:rPr>
        <w:drawing>
          <wp:inline distT="0" distB="0" distL="0" distR="0" wp14:anchorId="628F507C" wp14:editId="61E36D15">
            <wp:extent cx="6847840" cy="2993390"/>
            <wp:effectExtent l="0" t="0" r="10160" b="1651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0B0D30-7919-4B4E-AD19-03F2E4B0D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r w:rsidR="005961D5">
        <w:rPr>
          <w:rFonts w:cstheme="minorHAnsi"/>
          <w:color w:val="000000"/>
          <w:highlight w:val="darkGray"/>
          <w:shd w:val="clear" w:color="auto" w:fill="FFFFFF"/>
        </w:rPr>
        <w:br/>
      </w:r>
      <w:r w:rsidR="00FB7B52" w:rsidRPr="00233426">
        <w:rPr>
          <w:rFonts w:cstheme="minorHAnsi"/>
          <w:color w:val="000000"/>
          <w:highlight w:val="darkGray"/>
          <w:shd w:val="clear" w:color="auto" w:fill="FFFFFF"/>
        </w:rPr>
        <w:br/>
      </w:r>
      <w:r w:rsidR="002810F5"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 Retail Trade, and Finance &amp; Insurance</w:t>
      </w:r>
      <w:r w:rsidR="005E145B">
        <w:rPr>
          <w:rFonts w:ascii="Calibri" w:hAnsi="Calibri" w:cs="Calibri"/>
          <w:color w:val="000000"/>
          <w:shd w:val="clear" w:color="auto" w:fill="FFFFFF"/>
        </w:rPr>
        <w:t>.</w:t>
      </w:r>
    </w:p>
    <w:p w14:paraId="2519C3A4" w14:textId="09B910C9"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5E145B">
        <w:rPr>
          <w:rFonts w:ascii="Calibri" w:hAnsi="Calibri" w:cs="Calibri"/>
          <w:color w:val="000000"/>
          <w:shd w:val="clear" w:color="auto" w:fill="FFFFFF"/>
        </w:rPr>
        <w:t xml:space="preserve"> Software Developers, Retail Salespersons, and Computer Occupations</w:t>
      </w:r>
      <w:r w:rsidR="00E0503C">
        <w:rPr>
          <w:rFonts w:ascii="Calibri" w:hAnsi="Calibri" w:cs="Calibri"/>
          <w:color w:val="000000"/>
          <w:shd w:val="clear" w:color="auto" w:fill="FFFFFF"/>
        </w:rPr>
        <w:t>.</w:t>
      </w:r>
    </w:p>
    <w:p w14:paraId="0098D66D" w14:textId="134B4A66"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5E145B">
        <w:rPr>
          <w:rFonts w:ascii="Calibri" w:hAnsi="Calibri" w:cs="Calibri"/>
          <w:color w:val="000000"/>
          <w:shd w:val="clear" w:color="auto" w:fill="FFFFFF"/>
        </w:rPr>
        <w:t>Hartford Healthcare, Griffin Health, and Trinity Health</w:t>
      </w:r>
      <w:r w:rsidR="00E0503C">
        <w:rPr>
          <w:rFonts w:ascii="Calibri" w:hAnsi="Calibri" w:cs="Calibri"/>
          <w:color w:val="000000"/>
          <w:shd w:val="clear" w:color="auto" w:fill="FFFFFF"/>
        </w:rPr>
        <w:t>.</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25ED35E6" w:rsidR="00B55C0D" w:rsidRPr="0018490F" w:rsidRDefault="009A039A"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&amp; Social Assistance</w:t>
      </w:r>
      <w:r w:rsidR="00B55C0D" w:rsidRPr="005E145B">
        <w:rPr>
          <w:rFonts w:eastAsia="Times New Roman" w:cstheme="minorHAnsi"/>
          <w:b/>
          <w:bCs/>
        </w:rPr>
        <w:t xml:space="preserve"> </w:t>
      </w:r>
      <w:r w:rsidR="00B55C0D" w:rsidRPr="0018490F">
        <w:rPr>
          <w:rFonts w:eastAsia="Times New Roman" w:cstheme="minorHAnsi"/>
        </w:rPr>
        <w:t>(</w:t>
      </w:r>
      <w:r>
        <w:rPr>
          <w:rFonts w:eastAsia="Times New Roman" w:cstheme="minorHAnsi"/>
        </w:rPr>
        <w:t>624</w:t>
      </w:r>
      <w:r w:rsidR="00E25E8C">
        <w:rPr>
          <w:rFonts w:eastAsia="Times New Roman" w:cstheme="minorHAnsi"/>
        </w:rPr>
        <w:t xml:space="preserve"> </w:t>
      </w:r>
      <w:r w:rsidR="00B55C0D" w:rsidRPr="0018490F">
        <w:rPr>
          <w:rFonts w:eastAsia="Times New Roman" w:cstheme="minorHAnsi"/>
        </w:rPr>
        <w:t xml:space="preserve">new postings, </w:t>
      </w:r>
      <w:r>
        <w:rPr>
          <w:rFonts w:eastAsia="Times New Roman" w:cstheme="minorHAnsi"/>
        </w:rPr>
        <w:t>+26</w:t>
      </w:r>
      <w:r w:rsidR="003223A1">
        <w:rPr>
          <w:rFonts w:eastAsia="Times New Roman" w:cstheme="minorHAnsi"/>
        </w:rPr>
        <w:t>%</w:t>
      </w:r>
      <w:r w:rsidR="00B55C0D" w:rsidRPr="0018490F">
        <w:rPr>
          <w:rFonts w:eastAsia="Times New Roman" w:cstheme="minorHAnsi"/>
        </w:rPr>
        <w:t xml:space="preserve"> over the week)</w:t>
      </w:r>
    </w:p>
    <w:p w14:paraId="4BFEB3FD" w14:textId="1A2ACB39" w:rsidR="00C679E2" w:rsidRPr="0018490F" w:rsidRDefault="009A039A"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Pr>
          <w:rFonts w:eastAsia="Times New Roman" w:cstheme="minorHAnsi"/>
        </w:rPr>
        <w:t>316</w:t>
      </w:r>
      <w:r w:rsidR="00C679E2" w:rsidRPr="0018490F">
        <w:rPr>
          <w:rFonts w:eastAsia="Times New Roman" w:cstheme="minorHAnsi"/>
        </w:rPr>
        <w:t xml:space="preserve"> new postings, </w:t>
      </w:r>
      <w:r w:rsidR="00737E0B">
        <w:rPr>
          <w:rFonts w:eastAsia="Times New Roman" w:cstheme="minorHAnsi"/>
        </w:rPr>
        <w:t>-</w:t>
      </w:r>
      <w:r w:rsidR="00E0503C">
        <w:rPr>
          <w:rFonts w:eastAsia="Times New Roman" w:cstheme="minorHAnsi"/>
        </w:rPr>
        <w:t>3</w:t>
      </w:r>
      <w:r>
        <w:rPr>
          <w:rFonts w:eastAsia="Times New Roman" w:cstheme="minorHAnsi"/>
        </w:rPr>
        <w:t>8</w:t>
      </w:r>
      <w:r w:rsidR="00EA012C">
        <w:rPr>
          <w:rFonts w:eastAsia="Times New Roman" w:cstheme="minorHAnsi"/>
        </w:rPr>
        <w:t>%</w:t>
      </w:r>
      <w:r w:rsidR="00C679E2" w:rsidRPr="0018490F">
        <w:rPr>
          <w:rFonts w:eastAsia="Times New Roman" w:cstheme="minorHAnsi"/>
        </w:rPr>
        <w:t xml:space="preserve"> over the week)</w:t>
      </w:r>
    </w:p>
    <w:p w14:paraId="5247AA36" w14:textId="30901F8E" w:rsidR="004A753B" w:rsidRPr="004A753B" w:rsidRDefault="009A039A" w:rsidP="004A753B">
      <w:pPr>
        <w:pStyle w:val="ListParagraph"/>
        <w:numPr>
          <w:ilvl w:val="0"/>
          <w:numId w:val="1"/>
        </w:numPr>
        <w:rPr>
          <w:rFonts w:eastAsia="Times New Roman" w:cstheme="minorHAnsi"/>
        </w:rPr>
      </w:pPr>
      <w:r>
        <w:rPr>
          <w:rFonts w:eastAsia="Times New Roman" w:cstheme="minorHAnsi"/>
          <w:b/>
          <w:bCs/>
        </w:rPr>
        <w:t>Finance &amp; Insurance</w:t>
      </w:r>
      <w:r w:rsidR="004A753B" w:rsidRPr="0018490F">
        <w:rPr>
          <w:rFonts w:eastAsia="Times New Roman" w:cstheme="minorHAnsi"/>
          <w:b/>
          <w:bCs/>
        </w:rPr>
        <w:t xml:space="preserve"> </w:t>
      </w:r>
      <w:r w:rsidR="004A753B" w:rsidRPr="0018490F">
        <w:rPr>
          <w:rFonts w:eastAsia="Times New Roman" w:cstheme="minorHAnsi"/>
        </w:rPr>
        <w:t>(</w:t>
      </w:r>
      <w:r>
        <w:rPr>
          <w:rFonts w:eastAsia="Times New Roman" w:cstheme="minorHAnsi"/>
        </w:rPr>
        <w:t>221</w:t>
      </w:r>
      <w:r w:rsidR="00B55C0D">
        <w:rPr>
          <w:rFonts w:eastAsia="Times New Roman" w:cstheme="minorHAnsi"/>
        </w:rPr>
        <w:t xml:space="preserve"> </w:t>
      </w:r>
      <w:r w:rsidR="004A753B" w:rsidRPr="0018490F">
        <w:rPr>
          <w:rFonts w:eastAsia="Times New Roman" w:cstheme="minorHAnsi"/>
        </w:rPr>
        <w:t xml:space="preserve">new postings, </w:t>
      </w:r>
      <w:r>
        <w:rPr>
          <w:rFonts w:eastAsia="Times New Roman" w:cstheme="minorHAnsi"/>
        </w:rPr>
        <w:t>-50</w:t>
      </w:r>
      <w:r w:rsidR="004A753B" w:rsidRPr="0018490F">
        <w:rPr>
          <w:rFonts w:eastAsia="Times New Roman" w:cstheme="minorHAnsi"/>
        </w:rPr>
        <w:t>% over the week)</w:t>
      </w:r>
    </w:p>
    <w:p w14:paraId="73AC04ED" w14:textId="4FFAE08B" w:rsidR="001A6B33" w:rsidRPr="0032575C" w:rsidRDefault="009A039A">
      <w:r w:rsidRPr="009A039A">
        <w:rPr>
          <w:noProof/>
        </w:rPr>
        <w:drawing>
          <wp:inline distT="0" distB="0" distL="0" distR="0" wp14:anchorId="5EAE691C" wp14:editId="3A41DC20">
            <wp:extent cx="6726915" cy="43970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7966" cy="4397759"/>
                    </a:xfrm>
                    <a:prstGeom prst="rect">
                      <a:avLst/>
                    </a:prstGeom>
                    <a:noFill/>
                    <a:ln>
                      <a:noFill/>
                    </a:ln>
                  </pic:spPr>
                </pic:pic>
              </a:graphicData>
            </a:graphic>
          </wp:inline>
        </w:drawing>
      </w:r>
      <w:r w:rsidR="00686CEC" w:rsidRPr="00686CEC">
        <w:t xml:space="preserve"> </w:t>
      </w:r>
      <w:r w:rsidR="00C77024" w:rsidRPr="00C77024">
        <w:t xml:space="preserve"> </w:t>
      </w:r>
      <w:r w:rsidR="002C780F" w:rsidRPr="002C780F">
        <w:t xml:space="preserve"> </w:t>
      </w:r>
      <w:r w:rsidRPr="009A039A">
        <w:t xml:space="preserve"> </w:t>
      </w:r>
      <w:r w:rsidR="007B084C" w:rsidRPr="007B084C">
        <w:t xml:space="preserve"> </w:t>
      </w:r>
      <w:r w:rsidR="0032575C">
        <w:t xml:space="preserve">  </w:t>
      </w:r>
      <w:r w:rsidR="0032575C">
        <w:br/>
        <w:t xml:space="preserve"> </w:t>
      </w:r>
      <w:r w:rsidR="0032575C">
        <w:tab/>
      </w:r>
      <w:r w:rsidR="00584445">
        <w:t>15</w:t>
      </w:r>
      <w:r w:rsidR="002321FF">
        <w:t xml:space="preserve"> </w:t>
      </w:r>
      <w:r w:rsidR="00237C3D" w:rsidRPr="0018490F">
        <w:rPr>
          <w:rFonts w:ascii="Calibri" w:hAnsi="Calibri" w:cs="Calibri"/>
          <w:color w:val="000000"/>
          <w:shd w:val="clear" w:color="auto" w:fill="FFFFFF"/>
        </w:rPr>
        <w:t>sector</w:t>
      </w:r>
      <w:r w:rsidR="002321FF">
        <w:rPr>
          <w:rFonts w:ascii="Calibri" w:hAnsi="Calibri" w:cs="Calibri"/>
          <w:color w:val="000000"/>
          <w:shd w:val="clear" w:color="auto" w:fill="FFFFFF"/>
        </w:rPr>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w:t>
      </w:r>
      <w:r w:rsidR="00C2323D">
        <w:rPr>
          <w:rFonts w:ascii="Calibri" w:hAnsi="Calibri" w:cs="Calibri"/>
          <w:color w:val="000000"/>
          <w:shd w:val="clear" w:color="auto" w:fill="FFFFFF"/>
        </w:rPr>
        <w:t>k</w:t>
      </w:r>
      <w:r w:rsidR="00584445">
        <w:rPr>
          <w:rFonts w:ascii="Calibri" w:hAnsi="Calibri" w:cs="Calibri"/>
          <w:color w:val="000000"/>
          <w:shd w:val="clear" w:color="auto" w:fill="FFFFFF"/>
        </w:rPr>
        <w:t xml:space="preserve">, 3 were unchanged, </w:t>
      </w:r>
      <w:r w:rsidR="00C2323D">
        <w:rPr>
          <w:rFonts w:ascii="Calibri" w:hAnsi="Calibri" w:cs="Calibri"/>
          <w:color w:val="000000"/>
          <w:shd w:val="clear" w:color="auto" w:fill="FFFFFF"/>
        </w:rPr>
        <w:t>and</w:t>
      </w:r>
      <w:r w:rsidR="007434ED">
        <w:rPr>
          <w:rFonts w:ascii="Calibri" w:hAnsi="Calibri" w:cs="Calibri"/>
          <w:color w:val="000000"/>
          <w:shd w:val="clear" w:color="auto" w:fill="FFFFFF"/>
        </w:rPr>
        <w:t xml:space="preserve"> </w:t>
      </w:r>
      <w:r w:rsidR="00584445">
        <w:rPr>
          <w:rFonts w:ascii="Calibri" w:hAnsi="Calibri" w:cs="Calibri"/>
          <w:color w:val="000000"/>
          <w:shd w:val="clear" w:color="auto" w:fill="FFFFFF"/>
        </w:rPr>
        <w:t>3</w:t>
      </w:r>
      <w:r w:rsidR="00894646">
        <w:rPr>
          <w:rFonts w:ascii="Calibri" w:hAnsi="Calibri" w:cs="Calibri"/>
          <w:color w:val="000000"/>
          <w:shd w:val="clear" w:color="auto" w:fill="FFFFFF"/>
        </w:rPr>
        <w:t xml:space="preserve"> had </w:t>
      </w:r>
      <w:r w:rsidR="007434ED">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largest</w:t>
      </w:r>
      <w:r w:rsidR="00C2323D">
        <w:rPr>
          <w:rFonts w:ascii="Calibri" w:hAnsi="Calibri" w:cs="Calibri"/>
          <w:color w:val="000000"/>
          <w:shd w:val="clear" w:color="auto" w:fill="FFFFFF"/>
        </w:rPr>
        <w:t xml:space="preserve"> percent</w:t>
      </w:r>
      <w:r w:rsidR="003157B6" w:rsidRPr="0018490F">
        <w:rPr>
          <w:rFonts w:ascii="Calibri" w:hAnsi="Calibri" w:cs="Calibri"/>
          <w:color w:val="000000"/>
          <w:shd w:val="clear" w:color="auto" w:fill="FFFFFF"/>
        </w:rPr>
        <w:t xml:space="preserve"> </w:t>
      </w:r>
      <w:r w:rsidR="007434ED">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584445">
        <w:rPr>
          <w:rFonts w:ascii="Calibri" w:hAnsi="Calibri" w:cs="Calibri"/>
          <w:color w:val="000000"/>
          <w:shd w:val="clear" w:color="auto" w:fill="FFFFFF"/>
        </w:rPr>
        <w:t>A</w:t>
      </w:r>
      <w:r w:rsidR="003A2A53">
        <w:rPr>
          <w:rFonts w:ascii="Calibri" w:hAnsi="Calibri" w:cs="Calibri"/>
          <w:color w:val="000000"/>
          <w:shd w:val="clear" w:color="auto" w:fill="FFFFFF"/>
        </w:rPr>
        <w:t>ccommodation &amp; Food Services</w:t>
      </w:r>
      <w:r w:rsidR="000B7B9A">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C2323D">
        <w:rPr>
          <w:rFonts w:ascii="Calibri" w:hAnsi="Calibri" w:cs="Calibri"/>
          <w:color w:val="000000"/>
          <w:shd w:val="clear" w:color="auto" w:fill="FFFFFF"/>
        </w:rPr>
        <w:t>6</w:t>
      </w:r>
      <w:r w:rsidR="00584445">
        <w:rPr>
          <w:rFonts w:ascii="Calibri" w:hAnsi="Calibri" w:cs="Calibri"/>
          <w:color w:val="000000"/>
          <w:shd w:val="clear" w:color="auto" w:fill="FFFFFF"/>
        </w:rPr>
        <w:t>3</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584445">
        <w:rPr>
          <w:rFonts w:ascii="Calibri" w:hAnsi="Calibri" w:cs="Calibri"/>
          <w:color w:val="000000"/>
          <w:shd w:val="clear" w:color="auto" w:fill="FFFFFF"/>
        </w:rPr>
        <w:t>226</w:t>
      </w:r>
      <w:r w:rsidR="00D47C84">
        <w:rPr>
          <w:rFonts w:ascii="Calibri" w:hAnsi="Calibri" w:cs="Calibri"/>
          <w:color w:val="000000"/>
          <w:shd w:val="clear" w:color="auto" w:fill="FFFFFF"/>
        </w:rPr>
        <w:t xml:space="preserve"> new ads), </w:t>
      </w:r>
      <w:r w:rsidR="00584445">
        <w:rPr>
          <w:rFonts w:ascii="Calibri" w:hAnsi="Calibri" w:cs="Calibri"/>
          <w:color w:val="000000"/>
          <w:shd w:val="clear" w:color="auto" w:fill="FFFFFF"/>
        </w:rPr>
        <w:t>Educational Services</w:t>
      </w:r>
      <w:r w:rsidR="00C2323D">
        <w:rPr>
          <w:rFonts w:ascii="Calibri" w:hAnsi="Calibri" w:cs="Calibri"/>
          <w:color w:val="000000"/>
          <w:shd w:val="clear" w:color="auto" w:fill="FFFFFF"/>
        </w:rPr>
        <w:t xml:space="preserve"> (-</w:t>
      </w:r>
      <w:r w:rsidR="00584445">
        <w:rPr>
          <w:rFonts w:ascii="Calibri" w:hAnsi="Calibri" w:cs="Calibri"/>
          <w:color w:val="000000"/>
          <w:shd w:val="clear" w:color="auto" w:fill="FFFFFF"/>
        </w:rPr>
        <w:t>55</w:t>
      </w:r>
      <w:r w:rsidR="00C2323D">
        <w:rPr>
          <w:rFonts w:ascii="Calibri" w:hAnsi="Calibri" w:cs="Calibri"/>
          <w:color w:val="000000"/>
          <w:shd w:val="clear" w:color="auto" w:fill="FFFFFF"/>
        </w:rPr>
        <w:t>% or -</w:t>
      </w:r>
      <w:r w:rsidR="00584445">
        <w:rPr>
          <w:rFonts w:ascii="Calibri" w:hAnsi="Calibri" w:cs="Calibri"/>
          <w:color w:val="000000"/>
          <w:shd w:val="clear" w:color="auto" w:fill="FFFFFF"/>
        </w:rPr>
        <w:t>94</w:t>
      </w:r>
      <w:r w:rsidR="00C2323D">
        <w:rPr>
          <w:rFonts w:ascii="Calibri" w:hAnsi="Calibri" w:cs="Calibri"/>
          <w:color w:val="000000"/>
          <w:shd w:val="clear" w:color="auto" w:fill="FFFFFF"/>
        </w:rPr>
        <w:t xml:space="preserve"> new ads), and </w:t>
      </w:r>
      <w:r w:rsidR="00584445">
        <w:rPr>
          <w:rFonts w:ascii="Calibri" w:hAnsi="Calibri" w:cs="Calibri"/>
          <w:color w:val="000000"/>
          <w:shd w:val="clear" w:color="auto" w:fill="FFFFFF"/>
        </w:rPr>
        <w:t>Finance &amp; Insurance</w:t>
      </w:r>
      <w:r w:rsidR="00C2323D">
        <w:rPr>
          <w:rFonts w:ascii="Calibri" w:hAnsi="Calibri" w:cs="Calibri"/>
          <w:color w:val="000000"/>
          <w:shd w:val="clear" w:color="auto" w:fill="FFFFFF"/>
        </w:rPr>
        <w:t xml:space="preserve"> (-</w:t>
      </w:r>
      <w:r w:rsidR="00584445">
        <w:rPr>
          <w:rFonts w:ascii="Calibri" w:hAnsi="Calibri" w:cs="Calibri"/>
          <w:color w:val="000000"/>
          <w:shd w:val="clear" w:color="auto" w:fill="FFFFFF"/>
        </w:rPr>
        <w:t>50</w:t>
      </w:r>
      <w:r w:rsidR="00C2323D">
        <w:rPr>
          <w:rFonts w:ascii="Calibri" w:hAnsi="Calibri" w:cs="Calibri"/>
          <w:color w:val="000000"/>
          <w:shd w:val="clear" w:color="auto" w:fill="FFFFFF"/>
        </w:rPr>
        <w:t>% or -</w:t>
      </w:r>
      <w:r w:rsidR="00584445">
        <w:rPr>
          <w:rFonts w:ascii="Calibri" w:hAnsi="Calibri" w:cs="Calibri"/>
          <w:color w:val="000000"/>
          <w:shd w:val="clear" w:color="auto" w:fill="FFFFFF"/>
        </w:rPr>
        <w:t>224</w:t>
      </w:r>
      <w:r w:rsidR="00C2323D">
        <w:rPr>
          <w:rFonts w:ascii="Calibri" w:hAnsi="Calibri" w:cs="Calibri"/>
          <w:color w:val="000000"/>
          <w:shd w:val="clear" w:color="auto" w:fill="FFFFFF"/>
        </w:rPr>
        <w:t xml:space="preserve">).  </w:t>
      </w:r>
      <w:r w:rsidR="00584445">
        <w:rPr>
          <w:rFonts w:ascii="Calibri" w:hAnsi="Calibri" w:cs="Calibri"/>
          <w:color w:val="000000"/>
          <w:shd w:val="clear" w:color="auto" w:fill="FFFFFF"/>
        </w:rPr>
        <w:t xml:space="preserve">  Employers </w:t>
      </w:r>
      <w:r w:rsidR="003A2A53">
        <w:rPr>
          <w:rFonts w:ascii="Calibri" w:hAnsi="Calibri" w:cs="Calibri"/>
          <w:color w:val="000000"/>
          <w:shd w:val="clear" w:color="auto" w:fill="FFFFFF"/>
        </w:rPr>
        <w:t>with</w:t>
      </w:r>
      <w:r w:rsidR="0032575C">
        <w:rPr>
          <w:rFonts w:ascii="Calibri" w:hAnsi="Calibri" w:cs="Calibri"/>
          <w:color w:val="000000"/>
          <w:shd w:val="clear" w:color="auto" w:fill="FFFFFF"/>
        </w:rPr>
        <w:t xml:space="preserve">in those three industries with </w:t>
      </w:r>
      <w:r w:rsidR="003A2A53">
        <w:rPr>
          <w:rFonts w:ascii="Calibri" w:hAnsi="Calibri" w:cs="Calibri"/>
          <w:color w:val="000000"/>
          <w:shd w:val="clear" w:color="auto" w:fill="FFFFFF"/>
        </w:rPr>
        <w:t xml:space="preserve">large declines </w:t>
      </w:r>
      <w:r w:rsidR="00584445">
        <w:rPr>
          <w:rFonts w:ascii="Calibri" w:hAnsi="Calibri" w:cs="Calibri"/>
          <w:color w:val="000000"/>
          <w:shd w:val="clear" w:color="auto" w:fill="FFFFFF"/>
        </w:rPr>
        <w:t xml:space="preserve">include </w:t>
      </w:r>
      <w:r w:rsidR="0032575C">
        <w:rPr>
          <w:rFonts w:ascii="Calibri" w:hAnsi="Calibri" w:cs="Calibri"/>
          <w:color w:val="000000"/>
          <w:shd w:val="clear" w:color="auto" w:fill="FFFFFF"/>
        </w:rPr>
        <w:t xml:space="preserve">Boston Market (-100% or 223 new ads), </w:t>
      </w:r>
      <w:r w:rsidR="00584445">
        <w:rPr>
          <w:rFonts w:ascii="Calibri" w:hAnsi="Calibri" w:cs="Calibri"/>
          <w:color w:val="000000"/>
          <w:shd w:val="clear" w:color="auto" w:fill="FFFFFF"/>
        </w:rPr>
        <w:t>Yale University (</w:t>
      </w:r>
      <w:r w:rsidR="00554AD5">
        <w:rPr>
          <w:rFonts w:ascii="Calibri" w:hAnsi="Calibri" w:cs="Calibri"/>
          <w:color w:val="000000"/>
          <w:shd w:val="clear" w:color="auto" w:fill="FFFFFF"/>
        </w:rPr>
        <w:t xml:space="preserve">-81% or </w:t>
      </w:r>
      <w:r w:rsidR="00584445">
        <w:rPr>
          <w:rFonts w:ascii="Calibri" w:hAnsi="Calibri" w:cs="Calibri"/>
          <w:color w:val="000000"/>
          <w:shd w:val="clear" w:color="auto" w:fill="FFFFFF"/>
        </w:rPr>
        <w:t>-</w:t>
      </w:r>
      <w:r w:rsidR="00554AD5">
        <w:rPr>
          <w:rFonts w:ascii="Calibri" w:hAnsi="Calibri" w:cs="Calibri"/>
          <w:color w:val="000000"/>
          <w:shd w:val="clear" w:color="auto" w:fill="FFFFFF"/>
        </w:rPr>
        <w:t>34 new ads), Deloitte (-86.4% or -19 new ads)</w:t>
      </w:r>
      <w:r w:rsidR="00157279">
        <w:rPr>
          <w:rFonts w:ascii="Calibri" w:hAnsi="Calibri" w:cs="Calibri"/>
          <w:color w:val="000000"/>
          <w:shd w:val="clear" w:color="auto" w:fill="FFFFFF"/>
        </w:rPr>
        <w:t>, and Ernst &amp; Young (-60% or -18 new ads)</w:t>
      </w:r>
      <w:r w:rsidR="00554AD5">
        <w:rPr>
          <w:rFonts w:ascii="Calibri" w:hAnsi="Calibri" w:cs="Calibri"/>
          <w:color w:val="000000"/>
          <w:shd w:val="clear" w:color="auto" w:fill="FFFFFF"/>
        </w:rPr>
        <w:t xml:space="preserve">. </w:t>
      </w:r>
      <w:r w:rsidR="0032575C">
        <w:rPr>
          <w:rFonts w:ascii="Calibri" w:hAnsi="Calibri" w:cs="Calibri"/>
          <w:color w:val="000000"/>
          <w:shd w:val="clear" w:color="auto" w:fill="FFFFFF"/>
        </w:rPr>
        <w:t>Of the 3 increasing industries, the largest percent increase occurred in Health Care &amp; Social Assistance (+26% or +128 new ads).</w:t>
      </w:r>
      <w:r w:rsidR="00554AD5">
        <w:rPr>
          <w:rFonts w:ascii="Calibri" w:hAnsi="Calibri" w:cs="Calibri"/>
          <w:color w:val="000000"/>
          <w:shd w:val="clear" w:color="auto" w:fill="FFFFFF"/>
        </w:rPr>
        <w:t xml:space="preserve"> </w:t>
      </w:r>
      <w:r w:rsidR="003A2A53">
        <w:rPr>
          <w:rFonts w:ascii="Calibri" w:hAnsi="Calibri" w:cs="Calibri"/>
          <w:color w:val="000000"/>
          <w:shd w:val="clear" w:color="auto" w:fill="FFFFFF"/>
        </w:rPr>
        <w:t>Employer</w:t>
      </w:r>
      <w:r w:rsidR="00554AD5">
        <w:rPr>
          <w:rFonts w:ascii="Calibri" w:hAnsi="Calibri" w:cs="Calibri"/>
          <w:color w:val="000000"/>
          <w:shd w:val="clear" w:color="auto" w:fill="FFFFFF"/>
        </w:rPr>
        <w:t xml:space="preserve">s </w:t>
      </w:r>
      <w:r w:rsidR="003A2A53">
        <w:rPr>
          <w:rFonts w:ascii="Calibri" w:hAnsi="Calibri" w:cs="Calibri"/>
          <w:color w:val="000000"/>
          <w:shd w:val="clear" w:color="auto" w:fill="FFFFFF"/>
        </w:rPr>
        <w:t xml:space="preserve">in Healthcare &amp; Social Assistance with large increases include the three employers with the largest over the week gains overall, Hartford Healthcare (+59 over the week), Griffin Health (+55 new ads), and Trinity Health (+45 new ads). </w:t>
      </w:r>
      <w:r w:rsidR="00554AD5">
        <w:rPr>
          <w:rFonts w:ascii="Calibri" w:hAnsi="Calibri" w:cs="Calibri"/>
          <w:color w:val="000000"/>
          <w:shd w:val="clear" w:color="auto" w:fill="FFFFFF"/>
        </w:rPr>
        <w:t xml:space="preserve">  </w:t>
      </w:r>
      <w:r w:rsidR="00584445">
        <w:rPr>
          <w:rFonts w:ascii="Calibri" w:hAnsi="Calibri" w:cs="Calibri"/>
          <w:color w:val="000000"/>
          <w:shd w:val="clear" w:color="auto" w:fill="FFFFFF"/>
        </w:rPr>
        <w:br/>
      </w:r>
      <w:r w:rsidR="00584445">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lastRenderedPageBreak/>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77C8897A" w:rsidR="00543012" w:rsidRPr="0074132D" w:rsidRDefault="001F5DC9" w:rsidP="00543012">
      <w:pPr>
        <w:pStyle w:val="ListParagraph"/>
        <w:numPr>
          <w:ilvl w:val="0"/>
          <w:numId w:val="2"/>
        </w:numPr>
        <w:rPr>
          <w:rFonts w:eastAsia="Times New Roman" w:cstheme="minorHAnsi"/>
          <w:b/>
          <w:bCs/>
        </w:rPr>
      </w:pPr>
      <w:r>
        <w:rPr>
          <w:rFonts w:ascii="Calibri" w:hAnsi="Calibri" w:cs="Calibri"/>
          <w:color w:val="000000"/>
          <w:shd w:val="clear" w:color="auto" w:fill="FFFFFF"/>
        </w:rPr>
        <w:t>Software Developers, Applications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6376F">
        <w:rPr>
          <w:rFonts w:ascii="Calibri" w:hAnsi="Calibri" w:cs="Calibri"/>
          <w:color w:val="000000"/>
          <w:shd w:val="clear" w:color="auto" w:fill="FFFFFF"/>
        </w:rPr>
        <w:t>1</w:t>
      </w:r>
      <w:r>
        <w:rPr>
          <w:rFonts w:ascii="Calibri" w:hAnsi="Calibri" w:cs="Calibri"/>
          <w:color w:val="000000"/>
          <w:shd w:val="clear" w:color="auto" w:fill="FFFFFF"/>
        </w:rPr>
        <w:t>79</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86</w:t>
      </w:r>
      <w:r w:rsidR="00543012" w:rsidRPr="0088622E">
        <w:rPr>
          <w:rFonts w:ascii="Calibri" w:hAnsi="Calibri" w:cs="Calibri"/>
          <w:color w:val="000000"/>
          <w:shd w:val="clear" w:color="auto" w:fill="FFFFFF"/>
        </w:rPr>
        <w:t>% over the week)</w:t>
      </w:r>
    </w:p>
    <w:p w14:paraId="5D8618A4" w14:textId="7018B373" w:rsidR="0074132D" w:rsidRPr="0023390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74132D">
        <w:rPr>
          <w:rFonts w:ascii="Calibri" w:hAnsi="Calibri" w:cs="Calibri"/>
          <w:color w:val="000000"/>
          <w:shd w:val="clear" w:color="auto" w:fill="FFFFFF"/>
        </w:rPr>
        <w:t xml:space="preserve"> </w:t>
      </w:r>
      <w:r w:rsidR="0074132D">
        <w:rPr>
          <w:rFonts w:eastAsia="Times New Roman" w:cstheme="minorHAnsi"/>
        </w:rPr>
        <w:t>(</w:t>
      </w:r>
      <w:r>
        <w:rPr>
          <w:rFonts w:eastAsia="Times New Roman" w:cstheme="minorHAnsi"/>
        </w:rPr>
        <w:t>1</w:t>
      </w:r>
      <w:r w:rsidR="001F5DC9">
        <w:rPr>
          <w:rFonts w:eastAsia="Times New Roman" w:cstheme="minorHAnsi"/>
        </w:rPr>
        <w:t>14</w:t>
      </w:r>
      <w:r w:rsidR="0074132D">
        <w:rPr>
          <w:rFonts w:eastAsia="Times New Roman" w:cstheme="minorHAnsi"/>
        </w:rPr>
        <w:t xml:space="preserve"> new postings, </w:t>
      </w:r>
      <w:r w:rsidR="001F5DC9">
        <w:rPr>
          <w:rFonts w:eastAsia="Times New Roman" w:cstheme="minorHAnsi"/>
        </w:rPr>
        <w:t>-25</w:t>
      </w:r>
      <w:r w:rsidR="0074132D">
        <w:rPr>
          <w:rFonts w:eastAsia="Times New Roman" w:cstheme="minorHAnsi"/>
        </w:rPr>
        <w:t>% over the week)</w:t>
      </w:r>
    </w:p>
    <w:p w14:paraId="7C6C2D82" w14:textId="21A5F44D" w:rsidR="0074132D" w:rsidRPr="0088622E" w:rsidRDefault="001F5DC9" w:rsidP="0074132D">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 All Other</w:t>
      </w:r>
      <w:r w:rsidR="00C2323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Pr>
          <w:rFonts w:ascii="Calibri" w:hAnsi="Calibri" w:cs="Calibri"/>
          <w:color w:val="000000"/>
          <w:shd w:val="clear" w:color="auto" w:fill="FFFFFF"/>
        </w:rPr>
        <w:t>96</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sidR="002D06A4">
        <w:rPr>
          <w:rFonts w:ascii="Calibri" w:hAnsi="Calibri" w:cs="Calibri"/>
          <w:color w:val="000000"/>
          <w:shd w:val="clear" w:color="auto" w:fill="FFFFFF"/>
        </w:rPr>
        <w:t>-</w:t>
      </w:r>
      <w:r>
        <w:rPr>
          <w:rFonts w:ascii="Calibri" w:hAnsi="Calibri" w:cs="Calibri"/>
          <w:color w:val="000000"/>
          <w:shd w:val="clear" w:color="auto" w:fill="FFFFFF"/>
        </w:rPr>
        <w:t>14</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4F0EA478" w:rsidR="00DB1461" w:rsidRDefault="001F5DC9" w:rsidP="00DB1461">
      <w:pPr>
        <w:rPr>
          <w:rFonts w:eastAsia="Times New Roman" w:cstheme="minorHAnsi"/>
          <w:b/>
          <w:bCs/>
        </w:rPr>
      </w:pPr>
      <w:r w:rsidRPr="001F5DC9">
        <w:rPr>
          <w:noProof/>
        </w:rPr>
        <w:drawing>
          <wp:inline distT="0" distB="0" distL="0" distR="0" wp14:anchorId="54607273" wp14:editId="4D66581B">
            <wp:extent cx="6847840" cy="4969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96951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906968B" w14:textId="77777777" w:rsidR="001F5DC9" w:rsidRDefault="00F0324E" w:rsidP="001F5DC9">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32575C" w:rsidRPr="0032575C">
        <w:rPr>
          <w:noProof/>
        </w:rPr>
        <w:drawing>
          <wp:inline distT="0" distB="0" distL="0" distR="0" wp14:anchorId="7D072F67" wp14:editId="6F017997">
            <wp:extent cx="6782435" cy="5558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2435" cy="5558155"/>
                    </a:xfrm>
                    <a:prstGeom prst="rect">
                      <a:avLst/>
                    </a:prstGeom>
                    <a:noFill/>
                    <a:ln>
                      <a:noFill/>
                    </a:ln>
                  </pic:spPr>
                </pic:pic>
              </a:graphicData>
            </a:graphic>
          </wp:inline>
        </w:drawing>
      </w:r>
      <w:r w:rsidR="00934319" w:rsidRPr="00934319">
        <w:t xml:space="preserve"> </w:t>
      </w:r>
      <w:r w:rsidR="00716E6B" w:rsidRPr="00716E6B">
        <w:t xml:space="preserve"> </w:t>
      </w:r>
    </w:p>
    <w:p w14:paraId="2BCCDD64" w14:textId="5505D39D" w:rsidR="007206D5" w:rsidRPr="001F5DC9" w:rsidRDefault="001F5DC9" w:rsidP="001F5DC9">
      <w:pPr>
        <w:rPr>
          <w:rFonts w:eastAsia="Times New Roman" w:cstheme="minorHAnsi"/>
          <w:b/>
          <w:bCs/>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w:t>
      </w:r>
      <w:r w:rsidR="00BD12BA">
        <w:rPr>
          <w:rFonts w:eastAsia="Times New Roman" w:cstheme="minorHAnsi"/>
        </w:rPr>
        <w:t xml:space="preserve"> </w:t>
      </w:r>
      <w:r w:rsidR="005525E3">
        <w:rPr>
          <w:rFonts w:eastAsia="Times New Roman" w:cstheme="minorHAnsi"/>
        </w:rPr>
        <w:t>were mostly in</w:t>
      </w:r>
      <w:r w:rsidR="00FE3428">
        <w:rPr>
          <w:rFonts w:eastAsia="Times New Roman" w:cstheme="minorHAnsi"/>
        </w:rPr>
        <w:t xml:space="preserve"> </w:t>
      </w:r>
      <w:r w:rsidR="0032575C">
        <w:rPr>
          <w:rFonts w:eastAsia="Times New Roman" w:cstheme="minorHAnsi"/>
        </w:rPr>
        <w:t xml:space="preserve">Health Care, </w:t>
      </w:r>
      <w:r w:rsidR="001E4EE4">
        <w:rPr>
          <w:rFonts w:eastAsia="Times New Roman" w:cstheme="minorHAnsi"/>
        </w:rPr>
        <w:t xml:space="preserve">Retail Trade, </w:t>
      </w:r>
      <w:proofErr w:type="gramStart"/>
      <w:r w:rsidR="00F44224">
        <w:rPr>
          <w:rFonts w:eastAsia="Times New Roman" w:cstheme="minorHAnsi"/>
        </w:rPr>
        <w:t>F</w:t>
      </w:r>
      <w:r w:rsidR="00FE3428">
        <w:rPr>
          <w:rFonts w:eastAsia="Times New Roman" w:cstheme="minorHAnsi"/>
        </w:rPr>
        <w:t>inance</w:t>
      </w:r>
      <w:proofErr w:type="gramEnd"/>
      <w:r w:rsidR="00FE3428">
        <w:rPr>
          <w:rFonts w:eastAsia="Times New Roman" w:cstheme="minorHAnsi"/>
        </w:rPr>
        <w:t xml:space="preserve"> </w:t>
      </w:r>
      <w:r w:rsidR="00716E6B">
        <w:rPr>
          <w:rFonts w:eastAsia="Times New Roman" w:cstheme="minorHAnsi"/>
        </w:rPr>
        <w:t xml:space="preserve">&amp; </w:t>
      </w:r>
      <w:r w:rsidR="00FE3428">
        <w:rPr>
          <w:rFonts w:eastAsia="Times New Roman" w:cstheme="minorHAnsi"/>
        </w:rPr>
        <w:t>Insurance</w:t>
      </w:r>
      <w:r w:rsidR="0032575C">
        <w:rPr>
          <w:rFonts w:eastAsia="Times New Roman" w:cstheme="minorHAnsi"/>
        </w:rPr>
        <w:t>.</w:t>
      </w:r>
      <w:r w:rsidR="00B71FDA">
        <w:rPr>
          <w:rFonts w:eastAsia="Times New Roman" w:cstheme="minorHAnsi"/>
        </w:rPr>
        <w:t xml:space="preserve">  </w:t>
      </w:r>
      <w:proofErr w:type="gramStart"/>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32575C">
        <w:rPr>
          <w:rFonts w:eastAsia="Times New Roman" w:cstheme="minorHAnsi"/>
        </w:rPr>
        <w:t>21</w:t>
      </w:r>
      <w:r w:rsidR="00B71FDA">
        <w:rPr>
          <w:rFonts w:eastAsia="Times New Roman" w:cstheme="minorHAnsi"/>
        </w:rPr>
        <w:t xml:space="preserve"> percent of all new ads</w:t>
      </w:r>
      <w:r w:rsidR="003B735B">
        <w:rPr>
          <w:rFonts w:eastAsia="Times New Roman" w:cstheme="minorHAnsi"/>
        </w:rPr>
        <w:t>.</w:t>
      </w:r>
      <w:proofErr w:type="gramEnd"/>
      <w:r w:rsidR="001E4EE4">
        <w:rPr>
          <w:rFonts w:eastAsia="Times New Roman" w:cstheme="minorHAnsi"/>
        </w:rPr>
        <w:t xml:space="preserve">  </w:t>
      </w:r>
      <w:r>
        <w:rPr>
          <w:rFonts w:eastAsia="Times New Roman" w:cstheme="minorHAnsi"/>
        </w:rPr>
        <w:t>Of the top 25 employers, 11 had over the week increases, one was unchanged, and 13 had decreases.  The largest increases were had by Hartford Hospital (+59 new ads), Griffin Health (+55 new ads), and Trinity Health (+45 new ads).  Of the 13 decreasing employers, the largest declining employers were Anthem Blue Cross (-63 new ads), BJ’s Wholesale Club, Inc. (-25 new ads), and the State of Connecticut (-23 new ads).</w:t>
      </w:r>
      <w:r w:rsidR="00934319">
        <w:rPr>
          <w:rFonts w:eastAsia="Times New Roman" w:cstheme="minorHAnsi"/>
        </w:rPr>
        <w:br/>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lastRenderedPageBreak/>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46CB1" w14:textId="77777777" w:rsidR="00006264" w:rsidRDefault="00006264" w:rsidP="00D01564">
      <w:pPr>
        <w:spacing w:after="0" w:line="240" w:lineRule="auto"/>
      </w:pPr>
      <w:r>
        <w:separator/>
      </w:r>
    </w:p>
  </w:endnote>
  <w:endnote w:type="continuationSeparator" w:id="0">
    <w:p w14:paraId="67C051AD" w14:textId="77777777" w:rsidR="00006264" w:rsidRDefault="00006264"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B70ABF">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8B25" w14:textId="77777777" w:rsidR="00006264" w:rsidRDefault="00006264" w:rsidP="00D01564">
      <w:pPr>
        <w:spacing w:after="0" w:line="240" w:lineRule="auto"/>
      </w:pPr>
      <w:r>
        <w:separator/>
      </w:r>
    </w:p>
  </w:footnote>
  <w:footnote w:type="continuationSeparator" w:id="0">
    <w:p w14:paraId="0B73F26B" w14:textId="77777777" w:rsidR="00006264" w:rsidRDefault="00006264"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06264"/>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57279"/>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10AE0"/>
    <w:rsid w:val="0021153A"/>
    <w:rsid w:val="00212B90"/>
    <w:rsid w:val="00213CB4"/>
    <w:rsid w:val="00214CA8"/>
    <w:rsid w:val="00221CA4"/>
    <w:rsid w:val="002276D1"/>
    <w:rsid w:val="00232012"/>
    <w:rsid w:val="002321FF"/>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CA2"/>
    <w:rsid w:val="00291E8C"/>
    <w:rsid w:val="0029388C"/>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25FF"/>
    <w:rsid w:val="00393C2B"/>
    <w:rsid w:val="0039620A"/>
    <w:rsid w:val="003A0925"/>
    <w:rsid w:val="003A2A53"/>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145B"/>
    <w:rsid w:val="005E29DA"/>
    <w:rsid w:val="005E3FA2"/>
    <w:rsid w:val="005F1B78"/>
    <w:rsid w:val="005F4716"/>
    <w:rsid w:val="005F65DF"/>
    <w:rsid w:val="00600BD3"/>
    <w:rsid w:val="00603716"/>
    <w:rsid w:val="0060498F"/>
    <w:rsid w:val="00605CAD"/>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12A6"/>
    <w:rsid w:val="007613E4"/>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4DB7"/>
    <w:rsid w:val="008A561C"/>
    <w:rsid w:val="008A5694"/>
    <w:rsid w:val="008A71B4"/>
    <w:rsid w:val="008B0045"/>
    <w:rsid w:val="008B0EEC"/>
    <w:rsid w:val="008B2243"/>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78A2"/>
    <w:rsid w:val="00942737"/>
    <w:rsid w:val="009435B8"/>
    <w:rsid w:val="009448EA"/>
    <w:rsid w:val="00944DBB"/>
    <w:rsid w:val="009500E4"/>
    <w:rsid w:val="00952640"/>
    <w:rsid w:val="00952F93"/>
    <w:rsid w:val="0095489A"/>
    <w:rsid w:val="0095746D"/>
    <w:rsid w:val="00960000"/>
    <w:rsid w:val="009601D6"/>
    <w:rsid w:val="00961C6B"/>
    <w:rsid w:val="00964E60"/>
    <w:rsid w:val="00970742"/>
    <w:rsid w:val="00970CE8"/>
    <w:rsid w:val="00971FE5"/>
    <w:rsid w:val="00972086"/>
    <w:rsid w:val="00977E84"/>
    <w:rsid w:val="00981B46"/>
    <w:rsid w:val="00981F63"/>
    <w:rsid w:val="009832FD"/>
    <w:rsid w:val="0098352E"/>
    <w:rsid w:val="00983FDC"/>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33E3"/>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0ABF"/>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2CF8"/>
    <w:rsid w:val="00BF5A50"/>
    <w:rsid w:val="00BF7515"/>
    <w:rsid w:val="00C060A1"/>
    <w:rsid w:val="00C11842"/>
    <w:rsid w:val="00C1280F"/>
    <w:rsid w:val="00C12C84"/>
    <w:rsid w:val="00C12EEA"/>
    <w:rsid w:val="00C207FC"/>
    <w:rsid w:val="00C223CA"/>
    <w:rsid w:val="00C2323D"/>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16C8"/>
    <w:rsid w:val="00DC2208"/>
    <w:rsid w:val="00DC5DC6"/>
    <w:rsid w:val="00DC711B"/>
    <w:rsid w:val="00DD4D79"/>
    <w:rsid w:val="00DE3BAF"/>
    <w:rsid w:val="00DE429F"/>
    <w:rsid w:val="00DE47EE"/>
    <w:rsid w:val="00DE6D4C"/>
    <w:rsid w:val="00DF06B3"/>
    <w:rsid w:val="00DF0B18"/>
    <w:rsid w:val="00DF1AD0"/>
    <w:rsid w:val="00DF3066"/>
    <w:rsid w:val="00DF423E"/>
    <w:rsid w:val="00DF5C25"/>
    <w:rsid w:val="00E01142"/>
    <w:rsid w:val="00E01499"/>
    <w:rsid w:val="00E0503C"/>
    <w:rsid w:val="00E05322"/>
    <w:rsid w:val="00E07C3C"/>
    <w:rsid w:val="00E23735"/>
    <w:rsid w:val="00E25E8C"/>
    <w:rsid w:val="00E27E67"/>
    <w:rsid w:val="00E36DE6"/>
    <w:rsid w:val="00E371A7"/>
    <w:rsid w:val="00E37A50"/>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B6851"/>
    <w:rsid w:val="00EC0329"/>
    <w:rsid w:val="00EC66B9"/>
    <w:rsid w:val="00EC7340"/>
    <w:rsid w:val="00ED1E2F"/>
    <w:rsid w:val="00ED2350"/>
    <w:rsid w:val="00ED49BA"/>
    <w:rsid w:val="00ED6158"/>
    <w:rsid w:val="00ED6254"/>
    <w:rsid w:val="00EE098C"/>
    <w:rsid w:val="00EE70E9"/>
    <w:rsid w:val="00EE784C"/>
    <w:rsid w:val="00F008C0"/>
    <w:rsid w:val="00F00A72"/>
    <w:rsid w:val="00F0324E"/>
    <w:rsid w:val="00F03F5A"/>
    <w:rsid w:val="00F062D4"/>
    <w:rsid w:val="00F076B2"/>
    <w:rsid w:val="00F11634"/>
    <w:rsid w:val="00F118D5"/>
    <w:rsid w:val="00F135A4"/>
    <w:rsid w:val="00F156E8"/>
    <w:rsid w:val="00F1663C"/>
    <w:rsid w:val="00F16D78"/>
    <w:rsid w:val="00F23202"/>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2959"/>
    <w:rsid w:val="00F95513"/>
    <w:rsid w:val="00FA336F"/>
    <w:rsid w:val="00FA3FA7"/>
    <w:rsid w:val="00FA4FC6"/>
    <w:rsid w:val="00FA6F39"/>
    <w:rsid w:val="00FA715B"/>
    <w:rsid w:val="00FB1857"/>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krzyzek\Desktop\0000%20Work%20Remote%20COVID\HWOL%20weekly\20_12_05%20weekly%20new%20ads%20table.xlsx" TargetMode="External"/><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12/05/20</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575670437258323"/>
        </c:manualLayout>
      </c:layout>
      <c:barChart>
        <c:barDir val="col"/>
        <c:grouping val="clustered"/>
        <c:varyColors val="0"/>
        <c:ser>
          <c:idx val="0"/>
          <c:order val="1"/>
          <c:spPr>
            <a:noFill/>
            <a:ln w="28575">
              <a:solidFill>
                <a:sysClr val="window" lastClr="FFFFFF">
                  <a:lumMod val="75000"/>
                </a:sysClr>
              </a:solidFill>
            </a:ln>
            <a:effectLst/>
          </c:spPr>
          <c:invertIfNegative val="0"/>
          <c:cat>
            <c:strRef>
              <c:f>Report5_Data!$C$2:$C$58</c:f>
              <c:strCache>
                <c:ptCount val="57"/>
                <c:pt idx="0">
                  <c:v>                    Nov 19</c:v>
                </c:pt>
                <c:pt idx="4">
                  <c:v>                    Dec 19</c:v>
                </c:pt>
                <c:pt idx="8">
                  <c:v>                    Jan 20</c:v>
                </c:pt>
                <c:pt idx="12">
                  <c:v>                      Feb 20</c:v>
                </c:pt>
                <c:pt idx="17">
                  <c:v>                    Mar 20</c:v>
                </c:pt>
                <c:pt idx="21">
                  <c:v>                     Apr 20</c:v>
                </c:pt>
                <c:pt idx="25">
                  <c:v>                    May 20</c:v>
                </c:pt>
                <c:pt idx="30">
                  <c:v>                   Jun 20</c:v>
                </c:pt>
                <c:pt idx="34">
                  <c:v>                 Jul 20</c:v>
                </c:pt>
                <c:pt idx="38">
                  <c:v>                 Aug 20</c:v>
                </c:pt>
                <c:pt idx="43">
                  <c:v>                 Sep 20</c:v>
                </c:pt>
                <c:pt idx="47">
                  <c:v>                 Oct 20</c:v>
                </c:pt>
                <c:pt idx="52">
                  <c:v>                 Nov 20</c:v>
                </c:pt>
                <c:pt idx="56">
                  <c:v> Dec</c:v>
                </c:pt>
              </c:strCache>
            </c:strRef>
          </c:cat>
          <c:val>
            <c:numRef>
              <c:f>Report5_Data!$D$2:$D$58</c:f>
              <c:numCache>
                <c:formatCode>General</c:formatCode>
                <c:ptCount val="57"/>
                <c:pt idx="0" formatCode="#,##0">
                  <c:v>8000</c:v>
                </c:pt>
                <c:pt idx="4" formatCode="#,##0">
                  <c:v>8000</c:v>
                </c:pt>
                <c:pt idx="8" formatCode="#,##0">
                  <c:v>8000</c:v>
                </c:pt>
                <c:pt idx="12" formatCode="#,##0">
                  <c:v>8000</c:v>
                </c:pt>
                <c:pt idx="17" formatCode="#,##0">
                  <c:v>8000</c:v>
                </c:pt>
                <c:pt idx="21" formatCode="#,##0">
                  <c:v>8000</c:v>
                </c:pt>
                <c:pt idx="25" formatCode="#,##0">
                  <c:v>8000</c:v>
                </c:pt>
                <c:pt idx="30" formatCode="#,##0">
                  <c:v>8000</c:v>
                </c:pt>
                <c:pt idx="34" formatCode="#,##0">
                  <c:v>8000</c:v>
                </c:pt>
                <c:pt idx="38" formatCode="#,##0">
                  <c:v>8000</c:v>
                </c:pt>
                <c:pt idx="43" formatCode="#,##0">
                  <c:v>8000</c:v>
                </c:pt>
                <c:pt idx="47" formatCode="#,##0">
                  <c:v>8000</c:v>
                </c:pt>
                <c:pt idx="52" formatCode="#,##0">
                  <c:v>8000</c:v>
                </c:pt>
                <c:pt idx="56" formatCode="#,##0">
                  <c:v>8000</c:v>
                </c:pt>
              </c:numCache>
            </c:numRef>
          </c:val>
          <c:extLst xmlns:c16r2="http://schemas.microsoft.com/office/drawing/2015/06/chart">
            <c:ext xmlns:c16="http://schemas.microsoft.com/office/drawing/2014/chart" uri="{C3380CC4-5D6E-409C-BE32-E72D297353CC}">
              <c16:uniqueId val="{00000000-FBD6-48AF-BB55-9319C605B908}"/>
            </c:ext>
          </c:extLst>
        </c:ser>
        <c:dLbls>
          <c:showLegendKey val="0"/>
          <c:showVal val="0"/>
          <c:showCatName val="0"/>
          <c:showSerName val="0"/>
          <c:showPercent val="0"/>
          <c:showBubbleSize val="0"/>
        </c:dLbls>
        <c:gapWidth val="500"/>
        <c:axId val="37193984"/>
        <c:axId val="37216640"/>
      </c:barChart>
      <c:lineChart>
        <c:grouping val="standard"/>
        <c:varyColors val="0"/>
        <c:ser>
          <c:idx val="1"/>
          <c:order val="0"/>
          <c:spPr>
            <a:ln w="28575" cap="rnd">
              <a:solidFill>
                <a:srgbClr val="00B050"/>
              </a:solidFill>
              <a:round/>
            </a:ln>
            <a:effectLst/>
          </c:spPr>
          <c:marker>
            <c:symbol val="none"/>
          </c:marker>
          <c:cat>
            <c:numRef>
              <c:f>Report5_Data!$A$2:$A$58</c:f>
              <c:numCache>
                <c:formatCode>m/d/yy;@</c:formatCode>
                <c:ptCount val="57"/>
                <c:pt idx="0">
                  <c:v>43778</c:v>
                </c:pt>
                <c:pt idx="1">
                  <c:v>43785</c:v>
                </c:pt>
                <c:pt idx="2">
                  <c:v>43792</c:v>
                </c:pt>
                <c:pt idx="3">
                  <c:v>43799</c:v>
                </c:pt>
                <c:pt idx="4">
                  <c:v>43806</c:v>
                </c:pt>
                <c:pt idx="5">
                  <c:v>43813</c:v>
                </c:pt>
                <c:pt idx="6">
                  <c:v>43820</c:v>
                </c:pt>
                <c:pt idx="7">
                  <c:v>43827</c:v>
                </c:pt>
                <c:pt idx="8">
                  <c:v>43834</c:v>
                </c:pt>
                <c:pt idx="9">
                  <c:v>43841</c:v>
                </c:pt>
                <c:pt idx="10">
                  <c:v>43848</c:v>
                </c:pt>
                <c:pt idx="11">
                  <c:v>43855</c:v>
                </c:pt>
                <c:pt idx="12">
                  <c:v>43862</c:v>
                </c:pt>
                <c:pt idx="13">
                  <c:v>43869</c:v>
                </c:pt>
                <c:pt idx="14">
                  <c:v>43876</c:v>
                </c:pt>
                <c:pt idx="15">
                  <c:v>43883</c:v>
                </c:pt>
                <c:pt idx="16">
                  <c:v>43890</c:v>
                </c:pt>
                <c:pt idx="17">
                  <c:v>43897</c:v>
                </c:pt>
                <c:pt idx="18">
                  <c:v>43904</c:v>
                </c:pt>
                <c:pt idx="19">
                  <c:v>43911</c:v>
                </c:pt>
                <c:pt idx="20">
                  <c:v>43918</c:v>
                </c:pt>
                <c:pt idx="21">
                  <c:v>43925</c:v>
                </c:pt>
                <c:pt idx="22">
                  <c:v>43932</c:v>
                </c:pt>
                <c:pt idx="23">
                  <c:v>43939</c:v>
                </c:pt>
                <c:pt idx="24">
                  <c:v>43946</c:v>
                </c:pt>
                <c:pt idx="25">
                  <c:v>43953</c:v>
                </c:pt>
                <c:pt idx="26">
                  <c:v>43960</c:v>
                </c:pt>
                <c:pt idx="27">
                  <c:v>43967</c:v>
                </c:pt>
                <c:pt idx="28">
                  <c:v>43974</c:v>
                </c:pt>
                <c:pt idx="29">
                  <c:v>43981</c:v>
                </c:pt>
                <c:pt idx="30">
                  <c:v>43988</c:v>
                </c:pt>
                <c:pt idx="31">
                  <c:v>43995</c:v>
                </c:pt>
                <c:pt idx="32">
                  <c:v>44002</c:v>
                </c:pt>
                <c:pt idx="33">
                  <c:v>44009</c:v>
                </c:pt>
                <c:pt idx="34">
                  <c:v>44016</c:v>
                </c:pt>
                <c:pt idx="35">
                  <c:v>44023</c:v>
                </c:pt>
                <c:pt idx="36">
                  <c:v>44030</c:v>
                </c:pt>
                <c:pt idx="37">
                  <c:v>44037</c:v>
                </c:pt>
                <c:pt idx="38">
                  <c:v>44044</c:v>
                </c:pt>
                <c:pt idx="39">
                  <c:v>44051</c:v>
                </c:pt>
                <c:pt idx="40">
                  <c:v>44058</c:v>
                </c:pt>
                <c:pt idx="41">
                  <c:v>44065</c:v>
                </c:pt>
                <c:pt idx="42">
                  <c:v>44072</c:v>
                </c:pt>
                <c:pt idx="43">
                  <c:v>44079</c:v>
                </c:pt>
                <c:pt idx="44">
                  <c:v>44086</c:v>
                </c:pt>
                <c:pt idx="45">
                  <c:v>44093</c:v>
                </c:pt>
                <c:pt idx="46">
                  <c:v>44100</c:v>
                </c:pt>
                <c:pt idx="47">
                  <c:v>44107</c:v>
                </c:pt>
                <c:pt idx="48">
                  <c:v>44114</c:v>
                </c:pt>
                <c:pt idx="49">
                  <c:v>44121</c:v>
                </c:pt>
                <c:pt idx="50">
                  <c:v>44128</c:v>
                </c:pt>
                <c:pt idx="51">
                  <c:v>44135</c:v>
                </c:pt>
                <c:pt idx="52">
                  <c:v>44142</c:v>
                </c:pt>
                <c:pt idx="53">
                  <c:v>44149</c:v>
                </c:pt>
                <c:pt idx="54">
                  <c:v>44156</c:v>
                </c:pt>
                <c:pt idx="55">
                  <c:v>44163</c:v>
                </c:pt>
                <c:pt idx="56">
                  <c:v>44170</c:v>
                </c:pt>
              </c:numCache>
            </c:numRef>
          </c:cat>
          <c:val>
            <c:numRef>
              <c:f>Report5_Data!$E$2:$E$58</c:f>
              <c:numCache>
                <c:formatCode>General</c:formatCode>
                <c:ptCount val="57"/>
                <c:pt idx="0">
                  <c:v>6502</c:v>
                </c:pt>
                <c:pt idx="1">
                  <c:v>5156</c:v>
                </c:pt>
                <c:pt idx="2">
                  <c:v>5400</c:v>
                </c:pt>
                <c:pt idx="3">
                  <c:v>5500</c:v>
                </c:pt>
                <c:pt idx="4">
                  <c:v>4689</c:v>
                </c:pt>
                <c:pt idx="5">
                  <c:v>6260</c:v>
                </c:pt>
                <c:pt idx="6">
                  <c:v>3680</c:v>
                </c:pt>
                <c:pt idx="7">
                  <c:v>5427</c:v>
                </c:pt>
                <c:pt idx="8">
                  <c:v>5672</c:v>
                </c:pt>
                <c:pt idx="9">
                  <c:v>5376</c:v>
                </c:pt>
                <c:pt idx="10">
                  <c:v>4610</c:v>
                </c:pt>
                <c:pt idx="11">
                  <c:v>4635</c:v>
                </c:pt>
                <c:pt idx="12">
                  <c:v>5641</c:v>
                </c:pt>
                <c:pt idx="13">
                  <c:v>5801</c:v>
                </c:pt>
                <c:pt idx="14">
                  <c:v>7660</c:v>
                </c:pt>
                <c:pt idx="15">
                  <c:v>5710</c:v>
                </c:pt>
                <c:pt idx="16">
                  <c:v>5261</c:v>
                </c:pt>
                <c:pt idx="17">
                  <c:v>7242</c:v>
                </c:pt>
                <c:pt idx="18">
                  <c:v>4408</c:v>
                </c:pt>
                <c:pt idx="19">
                  <c:v>5541</c:v>
                </c:pt>
                <c:pt idx="20">
                  <c:v>3391</c:v>
                </c:pt>
                <c:pt idx="21">
                  <c:v>3381</c:v>
                </c:pt>
                <c:pt idx="22">
                  <c:v>2786</c:v>
                </c:pt>
                <c:pt idx="23">
                  <c:v>2725</c:v>
                </c:pt>
                <c:pt idx="24">
                  <c:v>2812</c:v>
                </c:pt>
                <c:pt idx="25">
                  <c:v>2123</c:v>
                </c:pt>
                <c:pt idx="26">
                  <c:v>3180</c:v>
                </c:pt>
                <c:pt idx="27">
                  <c:v>2274</c:v>
                </c:pt>
                <c:pt idx="28">
                  <c:v>3659</c:v>
                </c:pt>
                <c:pt idx="29">
                  <c:v>4401</c:v>
                </c:pt>
                <c:pt idx="30">
                  <c:v>4378</c:v>
                </c:pt>
                <c:pt idx="31">
                  <c:v>5978</c:v>
                </c:pt>
                <c:pt idx="32">
                  <c:v>5013</c:v>
                </c:pt>
                <c:pt idx="33">
                  <c:v>5317</c:v>
                </c:pt>
                <c:pt idx="34">
                  <c:v>3457</c:v>
                </c:pt>
                <c:pt idx="35">
                  <c:v>4660</c:v>
                </c:pt>
                <c:pt idx="36">
                  <c:v>4172</c:v>
                </c:pt>
                <c:pt idx="37">
                  <c:v>5148</c:v>
                </c:pt>
                <c:pt idx="38">
                  <c:v>5562</c:v>
                </c:pt>
                <c:pt idx="39">
                  <c:v>5653</c:v>
                </c:pt>
                <c:pt idx="40">
                  <c:v>3580</c:v>
                </c:pt>
                <c:pt idx="41">
                  <c:v>4613</c:v>
                </c:pt>
                <c:pt idx="42">
                  <c:v>5016</c:v>
                </c:pt>
                <c:pt idx="43">
                  <c:v>5959</c:v>
                </c:pt>
                <c:pt idx="44">
                  <c:v>4715</c:v>
                </c:pt>
                <c:pt idx="45">
                  <c:v>4745</c:v>
                </c:pt>
                <c:pt idx="46">
                  <c:v>3489</c:v>
                </c:pt>
                <c:pt idx="47">
                  <c:v>4663</c:v>
                </c:pt>
                <c:pt idx="48">
                  <c:v>4917</c:v>
                </c:pt>
                <c:pt idx="49">
                  <c:v>4923</c:v>
                </c:pt>
                <c:pt idx="50">
                  <c:v>4470</c:v>
                </c:pt>
                <c:pt idx="51">
                  <c:v>5055</c:v>
                </c:pt>
                <c:pt idx="52">
                  <c:v>4516</c:v>
                </c:pt>
                <c:pt idx="53">
                  <c:v>3514</c:v>
                </c:pt>
                <c:pt idx="54">
                  <c:v>3741</c:v>
                </c:pt>
                <c:pt idx="55">
                  <c:v>3485</c:v>
                </c:pt>
                <c:pt idx="56">
                  <c:v>2815</c:v>
                </c:pt>
              </c:numCache>
            </c:numRef>
          </c:val>
          <c:smooth val="0"/>
          <c:extLst xmlns:c16r2="http://schemas.microsoft.com/office/drawing/2015/06/chart">
            <c:ext xmlns:c16="http://schemas.microsoft.com/office/drawing/2014/chart" uri="{C3380CC4-5D6E-409C-BE32-E72D297353CC}">
              <c16:uniqueId val="{00000001-FBD6-48AF-BB55-9319C605B908}"/>
            </c:ext>
          </c:extLst>
        </c:ser>
        <c:dLbls>
          <c:showLegendKey val="0"/>
          <c:showVal val="0"/>
          <c:showCatName val="0"/>
          <c:showSerName val="0"/>
          <c:showPercent val="0"/>
          <c:showBubbleSize val="0"/>
        </c:dLbls>
        <c:marker val="1"/>
        <c:smooth val="0"/>
        <c:axId val="37193984"/>
        <c:axId val="37216640"/>
      </c:lineChart>
      <c:catAx>
        <c:axId val="37193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5579476858227863"/>
              <c:y val="0.90837764268716203"/>
            </c:manualLayout>
          </c:layout>
          <c:overlay val="0"/>
          <c:spPr>
            <a:noFill/>
            <a:ln>
              <a:solidFill>
                <a:sysClr val="window" lastClr="FFFFFF"/>
              </a:solidFill>
            </a:ln>
            <a:effectLst/>
          </c:sp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chemeClr val="tx1">
                    <a:lumMod val="65000"/>
                    <a:lumOff val="35000"/>
                  </a:schemeClr>
                </a:solidFill>
                <a:latin typeface="+mn-lt"/>
                <a:ea typeface="+mn-ea"/>
                <a:cs typeface="+mn-cs"/>
              </a:defRPr>
            </a:pPr>
            <a:endParaRPr lang="en-US"/>
          </a:p>
        </c:txPr>
        <c:crossAx val="37216640"/>
        <c:crosses val="autoZero"/>
        <c:auto val="1"/>
        <c:lblAlgn val="ctr"/>
        <c:lblOffset val="100"/>
        <c:noMultiLvlLbl val="0"/>
      </c:catAx>
      <c:valAx>
        <c:axId val="37216640"/>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939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B4E6-139F-40B1-8B79-65EE1381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693</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2020-12-11T21:50:00Z</dcterms:created>
  <dcterms:modified xsi:type="dcterms:W3CDTF">2020-12-11T21:50:00Z</dcterms:modified>
</cp:coreProperties>
</file>